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71BDC">
      <w:pPr>
        <w:pStyle w:val="NormalWeb"/>
        <w:jc w:val="center"/>
        <w:rPr>
          <w:b/>
          <w:bCs/>
        </w:rPr>
      </w:pPr>
      <w:r>
        <w:rPr>
          <w:b/>
          <w:bCs/>
        </w:rPr>
        <w:t>Job-related Affective Well-being Scale (JAWS)</w:t>
      </w:r>
      <w:r w:rsidR="00623613">
        <w:rPr>
          <w:b/>
          <w:bCs/>
        </w:rPr>
        <w:t>: Overview</w:t>
      </w:r>
      <w:bookmarkStart w:id="0" w:name="_GoBack"/>
      <w:bookmarkEnd w:id="0"/>
      <w:r w:rsidR="00C4128D">
        <w:rPr>
          <w:b/>
          <w:bCs/>
        </w:rPr>
        <w:t xml:space="preserve"> </w:t>
      </w:r>
    </w:p>
    <w:p w:rsidR="00000000" w:rsidRDefault="00E71BDC">
      <w:pPr>
        <w:pStyle w:val="NormalWeb"/>
        <w:jc w:val="center"/>
      </w:pPr>
      <w:r>
        <w:t>Paul E. Spector</w:t>
      </w:r>
    </w:p>
    <w:p w:rsidR="00000000" w:rsidRDefault="00E71BDC">
      <w:pPr>
        <w:pStyle w:val="NormalWeb"/>
      </w:pPr>
      <w:r>
        <w:t xml:space="preserve">The Job-related Affective Well-being Scale, JAWS (Van Katwyk, Fox, Spector, &amp; </w:t>
      </w:r>
      <w:r>
        <w:t>Kelloway, 2000) is a 30-item (full version) and 20-item (short version) scale designed to assess people's emotional reactions to their job. Each item is an emotion, and respondents are asked how often they have experienced each at work over the prior 30 da</w:t>
      </w:r>
      <w:r>
        <w:t xml:space="preserve">ys. Responses are made with a five-point scale with anchors </w:t>
      </w:r>
      <w:r>
        <w:rPr>
          <w:i/>
          <w:iCs/>
        </w:rPr>
        <w:t>Never</w:t>
      </w:r>
      <w:r>
        <w:t xml:space="preserve">, </w:t>
      </w:r>
      <w:r>
        <w:rPr>
          <w:i/>
          <w:iCs/>
        </w:rPr>
        <w:t>Rarely</w:t>
      </w:r>
      <w:r>
        <w:t xml:space="preserve">, </w:t>
      </w:r>
      <w:r>
        <w:rPr>
          <w:i/>
          <w:iCs/>
        </w:rPr>
        <w:t>Sometimes</w:t>
      </w:r>
      <w:r>
        <w:t xml:space="preserve">, </w:t>
      </w:r>
      <w:r>
        <w:rPr>
          <w:i/>
          <w:iCs/>
        </w:rPr>
        <w:t>Quite often</w:t>
      </w:r>
      <w:r>
        <w:t xml:space="preserve">, </w:t>
      </w:r>
      <w:proofErr w:type="gramStart"/>
      <w:r>
        <w:rPr>
          <w:i/>
          <w:iCs/>
        </w:rPr>
        <w:t>Extremely</w:t>
      </w:r>
      <w:proofErr w:type="gramEnd"/>
      <w:r>
        <w:rPr>
          <w:i/>
          <w:iCs/>
        </w:rPr>
        <w:t xml:space="preserve"> often or always</w:t>
      </w:r>
      <w:r>
        <w:t>. The JAWS includes a wide variety of emotional experiences, both negative and positive. The emotions can be placed into four catego</w:t>
      </w:r>
      <w:r>
        <w:t>ries (subscales) that fall along two dimension: pleasurableness and arousal (intensity). The scale can be scored in three ways. 1, An overall score of all items with the negative emotions reverse scored; 2, Separate scores of all 15 (full version) or 10 (s</w:t>
      </w:r>
      <w:r>
        <w:t>hort version) negative or positive items combined separately without reverse scoring; 3,  Four scores matching the above four categories containing 5 items each (see tables below).</w:t>
      </w:r>
    </w:p>
    <w:p w:rsidR="00000000" w:rsidRDefault="00E71BDC">
      <w:pPr>
        <w:pStyle w:val="NormalWeb"/>
        <w:rPr>
          <w:b/>
          <w:bCs/>
        </w:rPr>
      </w:pPr>
      <w:r>
        <w:rPr>
          <w:b/>
          <w:bCs/>
        </w:rPr>
        <w:t>Reliability</w:t>
      </w:r>
    </w:p>
    <w:p w:rsidR="00000000" w:rsidRDefault="00E71BDC">
      <w:pPr>
        <w:pStyle w:val="NormalWeb"/>
      </w:pPr>
      <w:r>
        <w:t xml:space="preserve">Internal consistency reliability estimates (coefficient alpha) </w:t>
      </w:r>
      <w:r>
        <w:t xml:space="preserve">are available from three studies (Bruk-Lee &amp; Spector, </w:t>
      </w:r>
      <w:proofErr w:type="gramStart"/>
      <w:r>
        <w:t>In</w:t>
      </w:r>
      <w:proofErr w:type="gramEnd"/>
      <w:r>
        <w:t xml:space="preserve"> press; Spector, Fox, Goh, &amp; Bruursema, 2003; Van Katwyk et al., 2000) using the different versions with heterogeneous working samples. Internal consistencies for the total score and four subscales ar</w:t>
      </w:r>
      <w:r>
        <w:t>e in the table.</w:t>
      </w:r>
    </w:p>
    <w:tbl>
      <w:tblPr>
        <w:tblW w:w="7927"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164"/>
        <w:gridCol w:w="1881"/>
        <w:gridCol w:w="1882"/>
      </w:tblGrid>
      <w:tr w:rsidR="00000000">
        <w:trPr>
          <w:tblCellSpacing w:w="7" w:type="dxa"/>
        </w:trPr>
        <w:tc>
          <w:tcPr>
            <w:tcW w:w="2613"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JAWS 30-item full version</w:t>
            </w:r>
          </w:p>
        </w:tc>
        <w:tc>
          <w:tcPr>
            <w:tcW w:w="1178"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n</w:t>
            </w:r>
          </w:p>
        </w:tc>
        <w:tc>
          <w:tcPr>
            <w:tcW w:w="1174"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Coefficient Alpha</w:t>
            </w:r>
          </w:p>
        </w:tc>
      </w:tr>
      <w:tr w:rsidR="00000000">
        <w:trPr>
          <w:tblCellSpacing w:w="7" w:type="dxa"/>
        </w:trPr>
        <w:tc>
          <w:tcPr>
            <w:tcW w:w="2613"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Total JAWS (all 30 items)</w:t>
            </w:r>
          </w:p>
        </w:tc>
        <w:tc>
          <w:tcPr>
            <w:tcW w:w="1178"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114</w:t>
            </w:r>
          </w:p>
        </w:tc>
        <w:tc>
          <w:tcPr>
            <w:tcW w:w="1174"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.95</w:t>
            </w:r>
          </w:p>
        </w:tc>
      </w:tr>
      <w:tr w:rsidR="00000000">
        <w:trPr>
          <w:tblCellSpacing w:w="7" w:type="dxa"/>
        </w:trPr>
        <w:tc>
          <w:tcPr>
            <w:tcW w:w="2613"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Negative emotion</w:t>
            </w:r>
          </w:p>
        </w:tc>
        <w:tc>
          <w:tcPr>
            <w:tcW w:w="1178"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235</w:t>
            </w:r>
          </w:p>
        </w:tc>
        <w:tc>
          <w:tcPr>
            <w:tcW w:w="1174"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.92</w:t>
            </w:r>
          </w:p>
        </w:tc>
      </w:tr>
      <w:tr w:rsidR="00000000">
        <w:trPr>
          <w:tblCellSpacing w:w="7" w:type="dxa"/>
        </w:trPr>
        <w:tc>
          <w:tcPr>
            <w:tcW w:w="2613"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Positive emotion</w:t>
            </w:r>
          </w:p>
        </w:tc>
        <w:tc>
          <w:tcPr>
            <w:tcW w:w="1178"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114</w:t>
            </w:r>
          </w:p>
        </w:tc>
        <w:tc>
          <w:tcPr>
            <w:tcW w:w="1174"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.94</w:t>
            </w:r>
          </w:p>
        </w:tc>
      </w:tr>
    </w:tbl>
    <w:p w:rsidR="00000000" w:rsidRDefault="00E71BDC">
      <w:pPr>
        <w:pStyle w:val="NormalWeb"/>
        <w:rPr>
          <w:b/>
          <w:bCs/>
        </w:rPr>
      </w:pPr>
    </w:p>
    <w:tbl>
      <w:tblPr>
        <w:tblW w:w="7927"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164"/>
        <w:gridCol w:w="1881"/>
        <w:gridCol w:w="1882"/>
      </w:tblGrid>
      <w:tr w:rsidR="00000000">
        <w:trPr>
          <w:tblCellSpacing w:w="7" w:type="dxa"/>
        </w:trPr>
        <w:tc>
          <w:tcPr>
            <w:tcW w:w="2613"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JAWS 20-item short version</w:t>
            </w:r>
          </w:p>
        </w:tc>
        <w:tc>
          <w:tcPr>
            <w:tcW w:w="1178"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n</w:t>
            </w:r>
          </w:p>
        </w:tc>
        <w:tc>
          <w:tcPr>
            <w:tcW w:w="1174"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Coefficient Alpha</w:t>
            </w:r>
          </w:p>
        </w:tc>
      </w:tr>
      <w:tr w:rsidR="00000000">
        <w:trPr>
          <w:tblCellSpacing w:w="7" w:type="dxa"/>
        </w:trPr>
        <w:tc>
          <w:tcPr>
            <w:tcW w:w="2613"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Negative emotion</w:t>
            </w:r>
          </w:p>
        </w:tc>
        <w:tc>
          <w:tcPr>
            <w:tcW w:w="1178"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166</w:t>
            </w:r>
          </w:p>
        </w:tc>
        <w:tc>
          <w:tcPr>
            <w:tcW w:w="1174"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.88</w:t>
            </w:r>
          </w:p>
        </w:tc>
      </w:tr>
      <w:tr w:rsidR="00000000">
        <w:trPr>
          <w:tblCellSpacing w:w="7" w:type="dxa"/>
        </w:trPr>
        <w:tc>
          <w:tcPr>
            <w:tcW w:w="2613"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Positive emotion</w:t>
            </w:r>
          </w:p>
        </w:tc>
        <w:tc>
          <w:tcPr>
            <w:tcW w:w="1178"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166</w:t>
            </w:r>
          </w:p>
        </w:tc>
        <w:tc>
          <w:tcPr>
            <w:tcW w:w="1174"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.90</w:t>
            </w:r>
          </w:p>
        </w:tc>
      </w:tr>
      <w:tr w:rsidR="00000000">
        <w:trPr>
          <w:tblCellSpacing w:w="7" w:type="dxa"/>
        </w:trPr>
        <w:tc>
          <w:tcPr>
            <w:tcW w:w="2613"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High pleasurable-High arousal (HPHA)</w:t>
            </w:r>
          </w:p>
        </w:tc>
        <w:tc>
          <w:tcPr>
            <w:tcW w:w="1178"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114</w:t>
            </w:r>
          </w:p>
        </w:tc>
        <w:tc>
          <w:tcPr>
            <w:tcW w:w="1174"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.90</w:t>
            </w:r>
          </w:p>
        </w:tc>
      </w:tr>
      <w:tr w:rsidR="00000000">
        <w:trPr>
          <w:tblCellSpacing w:w="7" w:type="dxa"/>
        </w:trPr>
        <w:tc>
          <w:tcPr>
            <w:tcW w:w="2613"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High pleasurable-Low arousal (HPLA)</w:t>
            </w:r>
          </w:p>
        </w:tc>
        <w:tc>
          <w:tcPr>
            <w:tcW w:w="1178"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114</w:t>
            </w:r>
          </w:p>
        </w:tc>
        <w:tc>
          <w:tcPr>
            <w:tcW w:w="1174"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.81</w:t>
            </w:r>
          </w:p>
        </w:tc>
      </w:tr>
      <w:tr w:rsidR="00000000">
        <w:trPr>
          <w:tblCellSpacing w:w="7" w:type="dxa"/>
        </w:trPr>
        <w:tc>
          <w:tcPr>
            <w:tcW w:w="2613"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lastRenderedPageBreak/>
              <w:t>Low pleasurable-High arousal (LPHA)</w:t>
            </w:r>
          </w:p>
        </w:tc>
        <w:tc>
          <w:tcPr>
            <w:tcW w:w="1178"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114</w:t>
            </w:r>
          </w:p>
        </w:tc>
        <w:tc>
          <w:tcPr>
            <w:tcW w:w="1174"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.80</w:t>
            </w:r>
          </w:p>
        </w:tc>
      </w:tr>
      <w:tr w:rsidR="00000000">
        <w:trPr>
          <w:tblCellSpacing w:w="7" w:type="dxa"/>
        </w:trPr>
        <w:tc>
          <w:tcPr>
            <w:tcW w:w="2613"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Low pleasurable-Low arousal (LPLA)</w:t>
            </w:r>
          </w:p>
        </w:tc>
        <w:tc>
          <w:tcPr>
            <w:tcW w:w="1178"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114</w:t>
            </w:r>
          </w:p>
        </w:tc>
        <w:tc>
          <w:tcPr>
            <w:tcW w:w="1174"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.80</w:t>
            </w:r>
          </w:p>
        </w:tc>
      </w:tr>
    </w:tbl>
    <w:p w:rsidR="00000000" w:rsidRDefault="00E71BDC">
      <w:pPr>
        <w:pStyle w:val="NormalWeb"/>
      </w:pPr>
    </w:p>
    <w:p w:rsidR="00000000" w:rsidRDefault="00E71BDC">
      <w:pPr>
        <w:pStyle w:val="NormalWeb"/>
        <w:rPr>
          <w:b/>
          <w:bCs/>
        </w:rPr>
      </w:pPr>
      <w:r>
        <w:rPr>
          <w:b/>
          <w:bCs/>
        </w:rPr>
        <w:t>U.S. Norms</w:t>
      </w:r>
    </w:p>
    <w:tbl>
      <w:tblPr>
        <w:tblW w:w="905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880"/>
        <w:gridCol w:w="1117"/>
        <w:gridCol w:w="1117"/>
        <w:gridCol w:w="2938"/>
      </w:tblGrid>
      <w:tr w:rsidR="00000000">
        <w:trPr>
          <w:tblCellSpacing w:w="7" w:type="dxa"/>
        </w:trPr>
        <w:tc>
          <w:tcPr>
            <w:tcW w:w="2132"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JAWS full version</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n</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Mean</w:t>
            </w:r>
          </w:p>
        </w:tc>
        <w:tc>
          <w:tcPr>
            <w:tcW w:w="1611"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Standard deviation</w:t>
            </w:r>
          </w:p>
        </w:tc>
      </w:tr>
      <w:tr w:rsidR="00000000">
        <w:trPr>
          <w:tblCellSpacing w:w="7" w:type="dxa"/>
        </w:trPr>
        <w:tc>
          <w:tcPr>
            <w:tcW w:w="2132"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Total JAWS (all 30 items)</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114</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105.6</w:t>
            </w:r>
          </w:p>
        </w:tc>
        <w:tc>
          <w:tcPr>
            <w:tcW w:w="1611"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16.7</w:t>
            </w:r>
          </w:p>
        </w:tc>
      </w:tr>
    </w:tbl>
    <w:p w:rsidR="00000000" w:rsidRDefault="00E71BDC">
      <w:pPr>
        <w:pStyle w:val="NormalWeb"/>
      </w:pPr>
    </w:p>
    <w:tbl>
      <w:tblPr>
        <w:tblW w:w="905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880"/>
        <w:gridCol w:w="1117"/>
        <w:gridCol w:w="1117"/>
        <w:gridCol w:w="2938"/>
      </w:tblGrid>
      <w:tr w:rsidR="00000000">
        <w:trPr>
          <w:tblCellSpacing w:w="7" w:type="dxa"/>
        </w:trPr>
        <w:tc>
          <w:tcPr>
            <w:tcW w:w="2132"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JAWS short version</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n</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Mean</w:t>
            </w:r>
          </w:p>
        </w:tc>
        <w:tc>
          <w:tcPr>
            <w:tcW w:w="1611"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Standard deviation</w:t>
            </w:r>
          </w:p>
        </w:tc>
      </w:tr>
      <w:tr w:rsidR="00000000">
        <w:trPr>
          <w:tblCellSpacing w:w="7" w:type="dxa"/>
        </w:trPr>
        <w:tc>
          <w:tcPr>
            <w:tcW w:w="2132"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Negative emotion</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166</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23.0</w:t>
            </w:r>
          </w:p>
        </w:tc>
        <w:tc>
          <w:tcPr>
            <w:tcW w:w="1611"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7.7</w:t>
            </w:r>
          </w:p>
        </w:tc>
      </w:tr>
      <w:tr w:rsidR="00000000">
        <w:trPr>
          <w:tblCellSpacing w:w="7" w:type="dxa"/>
        </w:trPr>
        <w:tc>
          <w:tcPr>
            <w:tcW w:w="2132"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Positive emotion</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166</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30.2</w:t>
            </w:r>
          </w:p>
        </w:tc>
        <w:tc>
          <w:tcPr>
            <w:tcW w:w="1611"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9.3</w:t>
            </w:r>
          </w:p>
        </w:tc>
      </w:tr>
      <w:tr w:rsidR="00000000">
        <w:trPr>
          <w:tblCellSpacing w:w="7" w:type="dxa"/>
        </w:trPr>
        <w:tc>
          <w:tcPr>
            <w:tcW w:w="2132"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High pleasurable-High arousal (HPHA)</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114</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14.4</w:t>
            </w:r>
          </w:p>
        </w:tc>
        <w:tc>
          <w:tcPr>
            <w:tcW w:w="1611"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3.9</w:t>
            </w:r>
          </w:p>
        </w:tc>
      </w:tr>
      <w:tr w:rsidR="00000000">
        <w:trPr>
          <w:tblCellSpacing w:w="7" w:type="dxa"/>
        </w:trPr>
        <w:tc>
          <w:tcPr>
            <w:tcW w:w="2132"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High pleasurable-Low arousal (HPLA)</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114</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16.5</w:t>
            </w:r>
          </w:p>
        </w:tc>
        <w:tc>
          <w:tcPr>
            <w:tcW w:w="1611"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3.4</w:t>
            </w:r>
          </w:p>
        </w:tc>
      </w:tr>
      <w:tr w:rsidR="00000000">
        <w:trPr>
          <w:tblCellSpacing w:w="7" w:type="dxa"/>
        </w:trPr>
        <w:tc>
          <w:tcPr>
            <w:tcW w:w="2132"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Low pleasurable-High arousal (LPHA)</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114</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9.5</w:t>
            </w:r>
          </w:p>
        </w:tc>
        <w:tc>
          <w:tcPr>
            <w:tcW w:w="1611"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3.2</w:t>
            </w:r>
          </w:p>
        </w:tc>
      </w:tr>
      <w:tr w:rsidR="00000000">
        <w:trPr>
          <w:tblCellSpacing w:w="7" w:type="dxa"/>
        </w:trPr>
        <w:tc>
          <w:tcPr>
            <w:tcW w:w="2132"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Low pleasurable-Low arousal (LPLA)</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jc w:val="center"/>
            </w:pPr>
            <w:r>
              <w:t>114</w:t>
            </w:r>
          </w:p>
        </w:tc>
        <w:tc>
          <w:tcPr>
            <w:tcW w:w="609"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11.0</w:t>
            </w:r>
          </w:p>
        </w:tc>
        <w:tc>
          <w:tcPr>
            <w:tcW w:w="1611" w:type="pct"/>
            <w:tcBorders>
              <w:top w:val="outset" w:sz="6" w:space="0" w:color="auto"/>
              <w:left w:val="outset" w:sz="6" w:space="0" w:color="auto"/>
              <w:bottom w:val="outset" w:sz="6" w:space="0" w:color="auto"/>
              <w:right w:val="outset" w:sz="6" w:space="0" w:color="auto"/>
            </w:tcBorders>
            <w:hideMark/>
          </w:tcPr>
          <w:p w:rsidR="00000000" w:rsidRDefault="00E71BDC">
            <w:pPr>
              <w:pStyle w:val="NormalWeb"/>
            </w:pPr>
            <w:r>
              <w:t>3.5</w:t>
            </w:r>
          </w:p>
        </w:tc>
      </w:tr>
    </w:tbl>
    <w:p w:rsidR="00000000" w:rsidRDefault="00E71BDC">
      <w:pPr>
        <w:pStyle w:val="NormalWeb"/>
      </w:pPr>
      <w:r>
        <w:t>n = sample size</w:t>
      </w:r>
    </w:p>
    <w:p w:rsidR="00000000" w:rsidRDefault="00E71BDC">
      <w:pPr>
        <w:pStyle w:val="NormalWeb"/>
        <w:rPr>
          <w:b/>
          <w:bCs/>
        </w:rPr>
      </w:pPr>
      <w:r>
        <w:rPr>
          <w:b/>
          <w:bCs/>
        </w:rPr>
        <w:t>References</w:t>
      </w:r>
    </w:p>
    <w:p w:rsidR="00000000" w:rsidRDefault="00E71BDC">
      <w:pPr>
        <w:pStyle w:val="NormalWeb"/>
        <w:ind w:left="720" w:hanging="720"/>
      </w:pPr>
      <w:r>
        <w:t>Bruk-Lee, V., &amp; Spector, P. E. (In press). The social stressors-counterproductive work behaviors link: Are conflicts with superviso</w:t>
      </w:r>
      <w:r>
        <w:t xml:space="preserve">rs and coworkers the same? </w:t>
      </w:r>
      <w:r>
        <w:rPr>
          <w:i/>
        </w:rPr>
        <w:t>Journal of Occupational Health Psychology</w:t>
      </w:r>
      <w:r>
        <w:t>.</w:t>
      </w:r>
    </w:p>
    <w:p w:rsidR="00000000" w:rsidRDefault="00E71BDC">
      <w:pPr>
        <w:pStyle w:val="NormalWeb"/>
        <w:ind w:left="720" w:hanging="720"/>
      </w:pPr>
      <w:r>
        <w:t>Spector, P. E., Fox, S., Goh, A. P. S., &amp; Bruursema, K. (2003). Counterproductive work behavior and organizational citizenship behavior: Are they opposites? Paper presented at the meetin</w:t>
      </w:r>
      <w:r>
        <w:t>g of the Society for Industrial and Organizational Psychology, Orlando, April 11-13.</w:t>
      </w:r>
    </w:p>
    <w:p w:rsidR="00E71BDC" w:rsidRDefault="00E71BDC">
      <w:pPr>
        <w:pStyle w:val="NormalWeb"/>
        <w:ind w:left="720" w:hanging="720"/>
      </w:pPr>
      <w:r>
        <w:lastRenderedPageBreak/>
        <w:t>Van Katwyk, P. T., Fox, S., Spector, P. E., &amp; Kelloway, E. K. (2000). Using the Job-related Affective Well-being Scale (JAWS) to investigate affective responses to work st</w:t>
      </w:r>
      <w:r>
        <w:t xml:space="preserve">ressors. </w:t>
      </w:r>
      <w:r>
        <w:rPr>
          <w:i/>
          <w:iCs/>
        </w:rPr>
        <w:t>Journal of Occupational Health Psychology</w:t>
      </w:r>
      <w:r>
        <w:t xml:space="preserve">, </w:t>
      </w:r>
      <w:r>
        <w:rPr>
          <w:i/>
          <w:iCs/>
        </w:rPr>
        <w:t>5</w:t>
      </w:r>
      <w:r>
        <w:t>, 219-230.</w:t>
      </w:r>
    </w:p>
    <w:sectPr w:rsidR="00E71B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4128D"/>
    <w:rsid w:val="00623613"/>
    <w:rsid w:val="00C4128D"/>
    <w:rsid w:val="00E7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BCDEB1-96C3-4AFE-9DAE-9ECAE9D7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jawsover</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jawsover</dc:title>
  <dc:subject/>
  <dc:creator>Paul Spector</dc:creator>
  <cp:keywords/>
  <dc:description/>
  <cp:lastModifiedBy>Paul Spector</cp:lastModifiedBy>
  <cp:revision>2</cp:revision>
  <dcterms:created xsi:type="dcterms:W3CDTF">2019-06-10T15:21:00Z</dcterms:created>
  <dcterms:modified xsi:type="dcterms:W3CDTF">2019-06-10T15:21:00Z</dcterms:modified>
</cp:coreProperties>
</file>